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AB" w:rsidRDefault="00542EAB" w:rsidP="001E3B07">
      <w:pPr>
        <w:jc w:val="center"/>
        <w:rPr>
          <w:b/>
          <w:sz w:val="48"/>
        </w:rPr>
      </w:pPr>
    </w:p>
    <w:p w:rsidR="001E3B07" w:rsidRPr="001E3B07" w:rsidRDefault="00542EAB" w:rsidP="0083150B">
      <w:pPr>
        <w:spacing w:line="240" w:lineRule="auto"/>
        <w:jc w:val="center"/>
        <w:rPr>
          <w:b/>
          <w:sz w:val="48"/>
        </w:rPr>
      </w:pPr>
      <w:r>
        <w:rPr>
          <w:b/>
          <w:sz w:val="48"/>
        </w:rPr>
        <w:t xml:space="preserve">VÝZVA č. </w:t>
      </w:r>
      <w:r w:rsidR="006041F2">
        <w:rPr>
          <w:b/>
          <w:sz w:val="48"/>
        </w:rPr>
        <w:t>1</w:t>
      </w:r>
      <w:r w:rsidR="0083150B">
        <w:rPr>
          <w:b/>
          <w:sz w:val="48"/>
        </w:rPr>
        <w:t>/2016</w:t>
      </w:r>
    </w:p>
    <w:p w:rsidR="008F0334" w:rsidRPr="00542EAB" w:rsidRDefault="001E3B07" w:rsidP="001E3B07">
      <w:pPr>
        <w:jc w:val="center"/>
        <w:rPr>
          <w:i/>
        </w:rPr>
      </w:pPr>
      <w:r w:rsidRPr="00542EAB">
        <w:rPr>
          <w:i/>
        </w:rPr>
        <w:t>k předkládání žádostí v rámci Státního programu na podpor úspor energie</w:t>
      </w:r>
      <w:r w:rsidR="0083150B">
        <w:rPr>
          <w:i/>
        </w:rPr>
        <w:br/>
      </w:r>
      <w:r w:rsidRPr="00542EAB">
        <w:rPr>
          <w:i/>
        </w:rPr>
        <w:t xml:space="preserve">a využití obnovitelných </w:t>
      </w:r>
      <w:r w:rsidR="0083150B">
        <w:rPr>
          <w:i/>
        </w:rPr>
        <w:t>a druhotných zdrojů energie pro rok 2016</w:t>
      </w:r>
    </w:p>
    <w:p w:rsidR="001E3B07" w:rsidRDefault="001E3B07" w:rsidP="001E3B07">
      <w:pPr>
        <w:jc w:val="center"/>
      </w:pPr>
    </w:p>
    <w:p w:rsidR="001E3B07" w:rsidRDefault="001E3B07" w:rsidP="001E3B07">
      <w:pPr>
        <w:jc w:val="both"/>
      </w:pPr>
      <w:r w:rsidRPr="001E3B07">
        <w:rPr>
          <w:b/>
        </w:rPr>
        <w:t>Oblast podpory</w:t>
      </w:r>
      <w:r>
        <w:t>:</w:t>
      </w:r>
      <w:r>
        <w:tab/>
        <w:t>Specifické a pilotní projekty</w:t>
      </w:r>
    </w:p>
    <w:p w:rsidR="001E3B07" w:rsidRDefault="001E3B07" w:rsidP="001E3B07">
      <w:pPr>
        <w:jc w:val="both"/>
      </w:pPr>
      <w:r w:rsidRPr="001E3B07">
        <w:rPr>
          <w:b/>
        </w:rPr>
        <w:t>Aktivita</w:t>
      </w:r>
      <w:r>
        <w:t>:</w:t>
      </w:r>
      <w:r>
        <w:tab/>
      </w:r>
      <w:r>
        <w:tab/>
        <w:t xml:space="preserve">A – </w:t>
      </w:r>
      <w:r w:rsidR="0083150B">
        <w:t xml:space="preserve">pilotní </w:t>
      </w:r>
      <w:r>
        <w:t>projekty</w:t>
      </w:r>
      <w:r w:rsidR="0083150B">
        <w:t>, projekty</w:t>
      </w:r>
      <w:r>
        <w:t xml:space="preserve"> vzdělávání</w:t>
      </w:r>
      <w:r w:rsidR="0083150B">
        <w:t>,</w:t>
      </w:r>
      <w:r>
        <w:t xml:space="preserve"> studie</w:t>
      </w:r>
      <w:r w:rsidR="0083150B">
        <w:t xml:space="preserve"> a mezinárodní spolupráce</w:t>
      </w:r>
    </w:p>
    <w:p w:rsidR="001E3B07" w:rsidRDefault="001E3B07" w:rsidP="001E3B07">
      <w:pPr>
        <w:jc w:val="both"/>
      </w:pPr>
    </w:p>
    <w:tbl>
      <w:tblPr>
        <w:tblStyle w:val="Mkatabulky"/>
        <w:tblW w:w="9072" w:type="dxa"/>
        <w:tblInd w:w="108" w:type="dxa"/>
        <w:tblLook w:val="04A0" w:firstRow="1" w:lastRow="0" w:firstColumn="1" w:lastColumn="0" w:noHBand="0" w:noVBand="1"/>
      </w:tblPr>
      <w:tblGrid>
        <w:gridCol w:w="2835"/>
        <w:gridCol w:w="6237"/>
      </w:tblGrid>
      <w:tr w:rsidR="00755266" w:rsidTr="00D77E1E">
        <w:tc>
          <w:tcPr>
            <w:tcW w:w="2835" w:type="dxa"/>
            <w:vAlign w:val="center"/>
          </w:tcPr>
          <w:p w:rsidR="00755266" w:rsidRDefault="00755266" w:rsidP="00D77E1E">
            <w:pPr>
              <w:spacing w:line="240" w:lineRule="auto"/>
              <w:rPr>
                <w:b/>
              </w:rPr>
            </w:pPr>
            <w:r>
              <w:rPr>
                <w:b/>
              </w:rPr>
              <w:t>Téma</w:t>
            </w:r>
          </w:p>
        </w:tc>
        <w:tc>
          <w:tcPr>
            <w:tcW w:w="6237" w:type="dxa"/>
            <w:vAlign w:val="center"/>
          </w:tcPr>
          <w:p w:rsidR="00755266" w:rsidRPr="00755266" w:rsidRDefault="0083150B" w:rsidP="0083150B">
            <w:pPr>
              <w:spacing w:line="240" w:lineRule="auto"/>
              <w:rPr>
                <w:b/>
                <w:i/>
              </w:rPr>
            </w:pPr>
            <w:r>
              <w:rPr>
                <w:b/>
                <w:i/>
              </w:rPr>
              <w:t>Energetický management a správa objektů Jihočeského kraje – studie proveditelnosti</w:t>
            </w:r>
          </w:p>
        </w:tc>
      </w:tr>
      <w:tr w:rsidR="00D77E1E" w:rsidTr="00D77E1E">
        <w:tc>
          <w:tcPr>
            <w:tcW w:w="2835" w:type="dxa"/>
            <w:vAlign w:val="center"/>
          </w:tcPr>
          <w:p w:rsidR="00D77E1E" w:rsidRPr="00D77E1E" w:rsidRDefault="00D77E1E" w:rsidP="00D77E1E">
            <w:pPr>
              <w:spacing w:line="240" w:lineRule="auto"/>
              <w:rPr>
                <w:b/>
              </w:rPr>
            </w:pPr>
            <w:r>
              <w:rPr>
                <w:b/>
              </w:rPr>
              <w:t>Typ žadatele</w:t>
            </w:r>
          </w:p>
        </w:tc>
        <w:tc>
          <w:tcPr>
            <w:tcW w:w="6237" w:type="dxa"/>
            <w:vAlign w:val="center"/>
          </w:tcPr>
          <w:p w:rsidR="00D77E1E" w:rsidRDefault="004D6D9B" w:rsidP="00D77E1E">
            <w:pPr>
              <w:spacing w:line="240" w:lineRule="auto"/>
            </w:pPr>
            <w:r>
              <w:t>P</w:t>
            </w:r>
            <w:r w:rsidR="00D77E1E">
              <w:t>odnikatelský subjekt (právnická i fyzická osoba), komory, vysoké školy, veřejné výzkumné instituce, spolky, obecně prospěšné společnosti, sdružení právnických osob</w:t>
            </w:r>
            <w:r>
              <w:t>.</w:t>
            </w:r>
          </w:p>
        </w:tc>
      </w:tr>
      <w:tr w:rsidR="00D77E1E" w:rsidTr="00D77E1E">
        <w:tc>
          <w:tcPr>
            <w:tcW w:w="2835" w:type="dxa"/>
            <w:vAlign w:val="center"/>
          </w:tcPr>
          <w:p w:rsidR="00D77E1E" w:rsidRPr="00D77E1E" w:rsidRDefault="00213CA8" w:rsidP="00D77E1E">
            <w:pPr>
              <w:spacing w:line="240" w:lineRule="auto"/>
              <w:rPr>
                <w:b/>
              </w:rPr>
            </w:pPr>
            <w:r>
              <w:rPr>
                <w:b/>
              </w:rPr>
              <w:t>Podpora</w:t>
            </w:r>
          </w:p>
        </w:tc>
        <w:tc>
          <w:tcPr>
            <w:tcW w:w="6237" w:type="dxa"/>
            <w:vAlign w:val="center"/>
          </w:tcPr>
          <w:p w:rsidR="00D77E1E" w:rsidRDefault="004D6D9B" w:rsidP="00D77E1E">
            <w:pPr>
              <w:spacing w:line="240" w:lineRule="auto"/>
              <w:jc w:val="both"/>
            </w:pPr>
            <w:r>
              <w:t>M</w:t>
            </w:r>
            <w:r w:rsidR="00D77E1E">
              <w:t xml:space="preserve">aximální výše </w:t>
            </w:r>
            <w:r w:rsidR="00213CA8">
              <w:t>podpory</w:t>
            </w:r>
            <w:r w:rsidR="00D77E1E">
              <w:t xml:space="preserve"> je </w:t>
            </w:r>
            <w:r w:rsidR="0083150B">
              <w:t>2</w:t>
            </w:r>
            <w:r w:rsidR="00D77E1E">
              <w:t xml:space="preserve"> mil. Kč a zároveň maximálně 100 % celkových </w:t>
            </w:r>
            <w:r w:rsidR="00032FF7">
              <w:t xml:space="preserve">uznatelných </w:t>
            </w:r>
            <w:bookmarkStart w:id="0" w:name="_GoBack"/>
            <w:bookmarkEnd w:id="0"/>
            <w:r w:rsidR="00D77E1E">
              <w:t xml:space="preserve">nákladů, </w:t>
            </w:r>
            <w:r w:rsidR="00213CA8">
              <w:t>podpora</w:t>
            </w:r>
            <w:r w:rsidR="00D77E1E">
              <w:t xml:space="preserve"> je poskytována v režimu de </w:t>
            </w:r>
            <w:proofErr w:type="spellStart"/>
            <w:r w:rsidR="00D77E1E">
              <w:t>minimis</w:t>
            </w:r>
            <w:proofErr w:type="spellEnd"/>
            <w:r w:rsidR="00340F9A">
              <w:t xml:space="preserve"> dle nařízení Komise (ES) č. 1407/2013 ze dne 18. 12. 2013, o použití článků 107 a 108 Smlouvy o fungování EU na podporu de </w:t>
            </w:r>
            <w:proofErr w:type="spellStart"/>
            <w:r w:rsidR="00340F9A">
              <w:t>minimis</w:t>
            </w:r>
            <w:proofErr w:type="spellEnd"/>
            <w:r>
              <w:t>.</w:t>
            </w:r>
          </w:p>
          <w:p w:rsidR="00B976B5" w:rsidRDefault="00B976B5" w:rsidP="00213CA8">
            <w:pPr>
              <w:spacing w:line="240" w:lineRule="auto"/>
              <w:jc w:val="both"/>
            </w:pPr>
            <w:r>
              <w:t xml:space="preserve">Jedná se o neinvestiční </w:t>
            </w:r>
            <w:r w:rsidR="00213CA8">
              <w:t>podporu</w:t>
            </w:r>
            <w:r>
              <w:t>.</w:t>
            </w:r>
          </w:p>
        </w:tc>
      </w:tr>
      <w:tr w:rsidR="00D77E1E" w:rsidTr="00D77E1E">
        <w:tc>
          <w:tcPr>
            <w:tcW w:w="2835" w:type="dxa"/>
            <w:vAlign w:val="center"/>
          </w:tcPr>
          <w:p w:rsidR="00D77E1E" w:rsidRPr="00D77E1E" w:rsidRDefault="00D77E1E" w:rsidP="00D77E1E">
            <w:pPr>
              <w:spacing w:line="240" w:lineRule="auto"/>
              <w:rPr>
                <w:b/>
              </w:rPr>
            </w:pPr>
            <w:r>
              <w:rPr>
                <w:b/>
              </w:rPr>
              <w:t>Ukončení projektu</w:t>
            </w:r>
          </w:p>
        </w:tc>
        <w:tc>
          <w:tcPr>
            <w:tcW w:w="6237" w:type="dxa"/>
            <w:vAlign w:val="center"/>
          </w:tcPr>
          <w:p w:rsidR="00D77E1E" w:rsidRDefault="0083150B" w:rsidP="00D77E1E">
            <w:pPr>
              <w:spacing w:line="240" w:lineRule="auto"/>
            </w:pPr>
            <w:r>
              <w:t>31. prosince 2016</w:t>
            </w:r>
          </w:p>
        </w:tc>
      </w:tr>
      <w:tr w:rsidR="00D77E1E" w:rsidTr="00D77E1E">
        <w:tc>
          <w:tcPr>
            <w:tcW w:w="2835" w:type="dxa"/>
            <w:vAlign w:val="center"/>
          </w:tcPr>
          <w:p w:rsidR="00D77E1E" w:rsidRPr="00D77E1E" w:rsidRDefault="00D77E1E" w:rsidP="00D77E1E">
            <w:pPr>
              <w:spacing w:line="240" w:lineRule="auto"/>
              <w:rPr>
                <w:b/>
              </w:rPr>
            </w:pPr>
            <w:r>
              <w:rPr>
                <w:b/>
              </w:rPr>
              <w:t>Uzávěrka podání žádostí</w:t>
            </w:r>
          </w:p>
        </w:tc>
        <w:tc>
          <w:tcPr>
            <w:tcW w:w="6237" w:type="dxa"/>
            <w:vAlign w:val="center"/>
          </w:tcPr>
          <w:p w:rsidR="00D77E1E" w:rsidRDefault="006041F2" w:rsidP="00D77E1E">
            <w:pPr>
              <w:spacing w:line="240" w:lineRule="auto"/>
            </w:pPr>
            <w:r>
              <w:t>17. června 2016</w:t>
            </w:r>
          </w:p>
        </w:tc>
      </w:tr>
      <w:tr w:rsidR="004D6D9B" w:rsidTr="00D77E1E">
        <w:tc>
          <w:tcPr>
            <w:tcW w:w="2835" w:type="dxa"/>
            <w:vAlign w:val="center"/>
          </w:tcPr>
          <w:p w:rsidR="004D6D9B" w:rsidRDefault="004D6D9B" w:rsidP="00D77E1E">
            <w:pPr>
              <w:spacing w:line="240" w:lineRule="auto"/>
              <w:rPr>
                <w:b/>
              </w:rPr>
            </w:pPr>
            <w:r>
              <w:rPr>
                <w:b/>
              </w:rPr>
              <w:t>Označení obálky</w:t>
            </w:r>
          </w:p>
        </w:tc>
        <w:tc>
          <w:tcPr>
            <w:tcW w:w="6237" w:type="dxa"/>
            <w:vAlign w:val="center"/>
          </w:tcPr>
          <w:p w:rsidR="004D6D9B" w:rsidRDefault="00577C1D" w:rsidP="006041F2">
            <w:pPr>
              <w:spacing w:line="240" w:lineRule="auto"/>
            </w:pPr>
            <w:r>
              <w:t xml:space="preserve">„Státní program EFEKT, A – výzva </w:t>
            </w:r>
            <w:r w:rsidR="006041F2">
              <w:t>1</w:t>
            </w:r>
            <w:r>
              <w:t>/</w:t>
            </w:r>
            <w:r w:rsidR="006041F2">
              <w:t>2016</w:t>
            </w:r>
            <w:r>
              <w:t>, NEOTEVÍRAT“</w:t>
            </w:r>
          </w:p>
        </w:tc>
      </w:tr>
      <w:tr w:rsidR="00D77E1E" w:rsidTr="00D77E1E">
        <w:tc>
          <w:tcPr>
            <w:tcW w:w="2835" w:type="dxa"/>
            <w:vAlign w:val="center"/>
          </w:tcPr>
          <w:p w:rsidR="00D77E1E" w:rsidRPr="00D77E1E" w:rsidRDefault="00D77E1E" w:rsidP="002E24B1">
            <w:pPr>
              <w:spacing w:line="240" w:lineRule="auto"/>
              <w:rPr>
                <w:b/>
              </w:rPr>
            </w:pPr>
            <w:r>
              <w:rPr>
                <w:b/>
              </w:rPr>
              <w:t xml:space="preserve">Popis </w:t>
            </w:r>
            <w:r w:rsidR="002E24B1">
              <w:rPr>
                <w:b/>
              </w:rPr>
              <w:t>projektu</w:t>
            </w:r>
          </w:p>
        </w:tc>
        <w:tc>
          <w:tcPr>
            <w:tcW w:w="6237" w:type="dxa"/>
            <w:vAlign w:val="center"/>
          </w:tcPr>
          <w:p w:rsidR="0083150B" w:rsidRPr="0083150B" w:rsidRDefault="004D6D9B" w:rsidP="00F34C0F">
            <w:pPr>
              <w:spacing w:after="0" w:line="240" w:lineRule="auto"/>
              <w:ind w:left="34"/>
              <w:contextualSpacing/>
              <w:jc w:val="both"/>
            </w:pPr>
            <w:r>
              <w:t xml:space="preserve">Předmětem </w:t>
            </w:r>
            <w:r w:rsidR="00213CA8">
              <w:t>podpory</w:t>
            </w:r>
            <w:r>
              <w:t xml:space="preserve"> je</w:t>
            </w:r>
            <w:r w:rsidR="00B976B5">
              <w:t xml:space="preserve"> zpracování </w:t>
            </w:r>
            <w:r w:rsidR="0083150B">
              <w:t>studie proveditelnosti k projektu „</w:t>
            </w:r>
            <w:r w:rsidR="0083150B" w:rsidRPr="0083150B">
              <w:t>Energetický management a správa objektů Jihočeského kraje</w:t>
            </w:r>
            <w:r w:rsidR="0083150B">
              <w:t>“</w:t>
            </w:r>
            <w:r w:rsidR="00B976B5">
              <w:t>, kter</w:t>
            </w:r>
            <w:r w:rsidR="00F34C0F">
              <w:t>á</w:t>
            </w:r>
            <w:r w:rsidR="00B976B5">
              <w:t xml:space="preserve"> bude </w:t>
            </w:r>
            <w:r w:rsidR="00F34C0F">
              <w:t>zahrnovat</w:t>
            </w:r>
            <w:r w:rsidR="00B976B5">
              <w:t xml:space="preserve"> </w:t>
            </w:r>
            <w:r w:rsidR="0083150B" w:rsidRPr="0083150B">
              <w:t xml:space="preserve">zavedení </w:t>
            </w:r>
            <w:r w:rsidR="00F34C0F">
              <w:t xml:space="preserve">energetického </w:t>
            </w:r>
            <w:r w:rsidR="0083150B" w:rsidRPr="0083150B">
              <w:t>manažerského přístupu ke správě majetku Jihočeského kraje, včetně instalace potřebné softwarové podpory. Součástí zpracování studie je důkladná prověrka objektů a budov v majetku Jihočeského kraje (definovaných zadávací dokumentací) a ověření r</w:t>
            </w:r>
            <w:r w:rsidR="00F34C0F">
              <w:t>eálnosti vstupních předpokladů.</w:t>
            </w:r>
          </w:p>
          <w:p w:rsidR="0083150B" w:rsidRPr="0083150B" w:rsidRDefault="0083150B" w:rsidP="00F34C0F">
            <w:pPr>
              <w:spacing w:after="0" w:line="240" w:lineRule="auto"/>
              <w:ind w:left="34"/>
              <w:contextualSpacing/>
              <w:jc w:val="both"/>
            </w:pPr>
            <w:r w:rsidRPr="0083150B">
              <w:t>Studie se bude zabývat zvažovaným investičním záměrem ze všech hledisek,</w:t>
            </w:r>
            <w:r w:rsidR="00ED768F">
              <w:t> </w:t>
            </w:r>
            <w:proofErr w:type="spellStart"/>
            <w:r w:rsidRPr="0083150B">
              <w:t>technicko-ekonomických</w:t>
            </w:r>
            <w:proofErr w:type="spellEnd"/>
            <w:r w:rsidRPr="0083150B">
              <w:t>,</w:t>
            </w:r>
            <w:r w:rsidR="00ED768F">
              <w:t> </w:t>
            </w:r>
            <w:r w:rsidRPr="0083150B">
              <w:t>institucionálních,</w:t>
            </w:r>
            <w:r w:rsidR="00ED768F">
              <w:t xml:space="preserve"> </w:t>
            </w:r>
            <w:proofErr w:type="spellStart"/>
            <w:r w:rsidRPr="0083150B">
              <w:t>environmentálnich</w:t>
            </w:r>
            <w:proofErr w:type="spellEnd"/>
            <w:r w:rsidRPr="0083150B">
              <w:t>, sociálních apod. Jejím cílem je zejména ověření skutečnosti, zda se zvažovaný investiční záměr opírá o správné předpoklady a zda v konečném důsledku naplní požadavky a potřeby Jihočeského kraje.</w:t>
            </w:r>
          </w:p>
          <w:p w:rsidR="004117A8" w:rsidRDefault="0083150B" w:rsidP="00F34C0F">
            <w:pPr>
              <w:spacing w:after="0" w:line="240" w:lineRule="auto"/>
              <w:ind w:left="34"/>
              <w:contextualSpacing/>
              <w:jc w:val="both"/>
            </w:pPr>
            <w:r w:rsidRPr="0083150B">
              <w:lastRenderedPageBreak/>
              <w:t>Studie musí podat Jihočeskému kraji dostatek informací pro přijetí, modifikaci či odmítnutí zvažovaného investičního záměru a zhodnotit j</w:t>
            </w:r>
            <w:r>
              <w:t>eho základní ekonomické přínosy.</w:t>
            </w:r>
          </w:p>
          <w:p w:rsidR="0083150B" w:rsidRPr="0083150B" w:rsidRDefault="0083150B" w:rsidP="00F34C0F">
            <w:pPr>
              <w:spacing w:after="0" w:line="240" w:lineRule="auto"/>
              <w:ind w:left="34"/>
              <w:contextualSpacing/>
              <w:jc w:val="both"/>
            </w:pPr>
            <w:r w:rsidRPr="0083150B">
              <w:t>Studie proveditelnosti bude obsahovat:</w:t>
            </w:r>
          </w:p>
          <w:p w:rsidR="0083150B" w:rsidRPr="0083150B" w:rsidRDefault="0083150B" w:rsidP="00F34C0F">
            <w:pPr>
              <w:pStyle w:val="Odstavecseseznamem"/>
              <w:numPr>
                <w:ilvl w:val="0"/>
                <w:numId w:val="9"/>
              </w:numPr>
              <w:spacing w:after="0" w:line="240" w:lineRule="auto"/>
              <w:jc w:val="both"/>
            </w:pPr>
            <w:r w:rsidRPr="00F34C0F">
              <w:rPr>
                <w:b/>
              </w:rPr>
              <w:t>Popis výchozího stavu</w:t>
            </w:r>
            <w:r w:rsidRPr="0083150B">
              <w:t xml:space="preserve"> - podrobná analýzy objektů a budov v majetku Jihočeského kraje a shromáždění údajů o míře zanedbané údržby, spotřebě energie, jejich energetické náročnosti, platnosti revizí dle platných ČSN. Stručný popis stávající situace, tj. popis problémů a nedostatků, které má zvažovaný investiční záměr řešit a popis přínosů a potřebnosti jeho realizace.</w:t>
            </w:r>
          </w:p>
          <w:p w:rsidR="0083150B" w:rsidRPr="0083150B" w:rsidRDefault="0083150B" w:rsidP="00F34C0F">
            <w:pPr>
              <w:pStyle w:val="Odstavecseseznamem"/>
              <w:numPr>
                <w:ilvl w:val="0"/>
                <w:numId w:val="9"/>
              </w:numPr>
              <w:spacing w:after="0" w:line="240" w:lineRule="auto"/>
              <w:jc w:val="both"/>
            </w:pPr>
            <w:r w:rsidRPr="00F34C0F">
              <w:rPr>
                <w:b/>
              </w:rPr>
              <w:t>Popis projektu a jeho etap</w:t>
            </w:r>
            <w:r w:rsidRPr="0083150B">
              <w:t xml:space="preserve"> - popis hlavních činností při realizaci zvažovaného investičního záměru, včetně základního ověření jeho účelnosti. Popis služeb, které budou díky realizaci záměru Jihočeskému kraji poskytovány, včetně popisu toho jaký problém řeší, jaká je jejich kapacita a lokalizace, jakými etapami záměr prochází a čím jsou specifické, jak řešeno variantní zpracování v rámci studie a jaká jsou ostatní významná specifika záměru. Posouzení nezbytnosti provozních, procesních a legislativních změn, včetně harmonogramu jejich přijetí a očekávané účinnosti.</w:t>
            </w:r>
          </w:p>
          <w:p w:rsidR="0083150B" w:rsidRPr="0083150B" w:rsidRDefault="0083150B" w:rsidP="00F34C0F">
            <w:pPr>
              <w:pStyle w:val="Odstavecseseznamem"/>
              <w:numPr>
                <w:ilvl w:val="0"/>
                <w:numId w:val="9"/>
              </w:numPr>
              <w:spacing w:after="0" w:line="240" w:lineRule="auto"/>
              <w:jc w:val="both"/>
            </w:pPr>
            <w:r w:rsidRPr="00F34C0F">
              <w:rPr>
                <w:b/>
              </w:rPr>
              <w:t>Management projektu a projektový tým</w:t>
            </w:r>
            <w:r w:rsidRPr="0083150B">
              <w:t xml:space="preserve"> - popis způsobu řízení realizace zvažovaného investičního záměru z hlediska lidských zdrojů a požadavků na projektový tým (seznam pracovníků zapojených do realizace, jejich zapojení a specializace). Popis způsobu plánování, organizování, řízení a kontroly všech procesů a organizačních jednotek, nezbytných pro realizaci zvažovaného investičního záměru.</w:t>
            </w:r>
          </w:p>
          <w:p w:rsidR="0083150B" w:rsidRPr="0083150B" w:rsidRDefault="0083150B" w:rsidP="00F34C0F">
            <w:pPr>
              <w:pStyle w:val="Odstavecseseznamem"/>
              <w:numPr>
                <w:ilvl w:val="0"/>
                <w:numId w:val="9"/>
              </w:numPr>
              <w:spacing w:after="0" w:line="240" w:lineRule="auto"/>
              <w:jc w:val="both"/>
            </w:pPr>
            <w:r w:rsidRPr="00F34C0F">
              <w:rPr>
                <w:b/>
              </w:rPr>
              <w:t>Technické a technologické řešení</w:t>
            </w:r>
            <w:r w:rsidRPr="0083150B">
              <w:t xml:space="preserve"> – shrnutí podstatných technických a technologických aspektů realizace zvažovaného investičního záměru, např. zvolená softwarová podpora (navrhované metriky, funkční dekompozice, datová architektura, procesní architektura, vymezení služeb poskytovaných systémem, vymezení zdrojů dat, způsoby iniciálního naplnění systému, provozní parametry pilotního a ostrého provozu), resp. její technické parametry včetně popisu výhod a nevýhod, vyplývající technická rizika, potřebné energetické a materiálové toky, údaje o životnostech jednotlivých zařízení, potřebné údržbě, revizích a nákladnosti oprav, změny v provozní náročnosti vlivem zanedbané údržby apod. </w:t>
            </w:r>
          </w:p>
          <w:p w:rsidR="0083150B" w:rsidRPr="0083150B" w:rsidRDefault="0083150B" w:rsidP="00F34C0F">
            <w:pPr>
              <w:pStyle w:val="Odstavecseseznamem"/>
              <w:numPr>
                <w:ilvl w:val="0"/>
                <w:numId w:val="9"/>
              </w:numPr>
              <w:spacing w:after="0" w:line="240" w:lineRule="auto"/>
              <w:jc w:val="both"/>
            </w:pPr>
            <w:r w:rsidRPr="00F34C0F">
              <w:rPr>
                <w:b/>
              </w:rPr>
              <w:t>Zajištění investičního (dlouhodobého) majetku</w:t>
            </w:r>
            <w:r w:rsidRPr="0083150B">
              <w:t xml:space="preserve"> - vymezení struktury dlouhodobého majetku, určení výše investičních nákladů, problematika servisních podmínek a případného znovupořízení, amortizační schéma apod.</w:t>
            </w:r>
          </w:p>
          <w:p w:rsidR="0083150B" w:rsidRPr="0083150B" w:rsidRDefault="0083150B" w:rsidP="00F34C0F">
            <w:pPr>
              <w:pStyle w:val="Odstavecseseznamem"/>
              <w:numPr>
                <w:ilvl w:val="0"/>
                <w:numId w:val="9"/>
              </w:numPr>
              <w:spacing w:after="0" w:line="240" w:lineRule="auto"/>
              <w:jc w:val="both"/>
            </w:pPr>
            <w:r w:rsidRPr="00F34C0F">
              <w:rPr>
                <w:b/>
              </w:rPr>
              <w:t>Způsob zajištění projektu</w:t>
            </w:r>
            <w:r w:rsidRPr="0083150B">
              <w:t xml:space="preserve"> - kritéria výběru vhodné varianty řešení, jejich popis a zdůvodnění, vyhodnocení variant řešení po </w:t>
            </w:r>
            <w:r w:rsidRPr="0083150B">
              <w:lastRenderedPageBreak/>
              <w:t>organizační, procesní i technologické stránce, stručný popis nejvhodnější varianty, stručné zdůvodnění výběru varianty.</w:t>
            </w:r>
          </w:p>
          <w:p w:rsidR="0083150B" w:rsidRPr="0083150B" w:rsidRDefault="0083150B" w:rsidP="00F34C0F">
            <w:pPr>
              <w:pStyle w:val="Odstavecseseznamem"/>
              <w:numPr>
                <w:ilvl w:val="0"/>
                <w:numId w:val="9"/>
              </w:numPr>
              <w:spacing w:after="0" w:line="240" w:lineRule="auto"/>
              <w:jc w:val="both"/>
            </w:pPr>
            <w:r w:rsidRPr="00F34C0F">
              <w:rPr>
                <w:b/>
              </w:rPr>
              <w:t>Finanční a ekonomická analýza</w:t>
            </w:r>
            <w:r w:rsidRPr="0083150B">
              <w:t xml:space="preserve"> - finanční plán investiční etapy (plán průběhu provozních, investičních nákladů a výnosů, finanční plán provozní etapy), plán průběhu provozních, investičních nákladů a výnosů (plánované stavy majetku, plán průběhu cash-</w:t>
            </w:r>
            <w:proofErr w:type="spellStart"/>
            <w:r w:rsidRPr="0083150B">
              <w:t>flow</w:t>
            </w:r>
            <w:proofErr w:type="spellEnd"/>
            <w:r w:rsidRPr="0083150B">
              <w:t xml:space="preserve"> – výdajů a příjmů, vyhodnocení finanční analýzy), ekonomická analýza (vymezení všech zainteresovaných subjektu a jejich členění, popis investiční a nulové varianty, popis ocenitelných nákladu a přínosů, popis nákladů a přínosů nezahrnovaných do hodnocení, výpočet hodnoty přínosů a nákladů, výpočet kriteriálních ukazatelů, provedení citlivostní analýzy, celkový ekonomický peněžní tok, vyhodnocení ekonomické analýzy, interpretace výsledku a rozhodnutí o přijatelnosti investice, její </w:t>
            </w:r>
            <w:proofErr w:type="spellStart"/>
            <w:r w:rsidRPr="0083150B">
              <w:t>financovatelnosti</w:t>
            </w:r>
            <w:proofErr w:type="spellEnd"/>
            <w:r w:rsidRPr="0083150B">
              <w:t xml:space="preserve"> a udržitelnosti).</w:t>
            </w:r>
          </w:p>
          <w:p w:rsidR="0083150B" w:rsidRPr="0083150B" w:rsidRDefault="0083150B" w:rsidP="00F34C0F">
            <w:pPr>
              <w:pStyle w:val="Odstavecseseznamem"/>
              <w:numPr>
                <w:ilvl w:val="0"/>
                <w:numId w:val="9"/>
              </w:numPr>
              <w:spacing w:after="0" w:line="240" w:lineRule="auto"/>
              <w:jc w:val="both"/>
            </w:pPr>
            <w:r w:rsidRPr="00F34C0F">
              <w:rPr>
                <w:b/>
              </w:rPr>
              <w:t>Harmonogram realizace projektu včetně rozpočtového harmonogramu</w:t>
            </w:r>
            <w:r w:rsidRPr="0083150B">
              <w:t xml:space="preserve"> - časový plán jednotlivých činností a fází projektu, který by měl být zpracován do podoby harmonogramu. Mělo by z něj být patrné, kde jednotlivé činnosti začínají a kdy končí (pokud končí), které činnosti na které navazují a jaké se vzájemně překrývají.</w:t>
            </w:r>
          </w:p>
          <w:p w:rsidR="0083150B" w:rsidRPr="0083150B" w:rsidRDefault="0083150B" w:rsidP="00F34C0F">
            <w:pPr>
              <w:pStyle w:val="Odstavecseseznamem"/>
              <w:numPr>
                <w:ilvl w:val="0"/>
                <w:numId w:val="9"/>
              </w:numPr>
              <w:spacing w:after="0" w:line="240" w:lineRule="auto"/>
              <w:jc w:val="both"/>
            </w:pPr>
            <w:r w:rsidRPr="00F34C0F">
              <w:rPr>
                <w:b/>
              </w:rPr>
              <w:t>Hodnocení efektivity a udržitelnosti projektu</w:t>
            </w:r>
            <w:r w:rsidRPr="0083150B">
              <w:t xml:space="preserve"> - vyhodnocení projektu pomocí kriteriálních ukazatelů kalkulovaných z finančních toků (resp. nákladů, výnosů) jako např. NPV, IRR, Doba návratnosti, Index rentability a finanční analýza projektu. U projektů, které negenerují příjmy</w:t>
            </w:r>
            <w:r w:rsidR="00F34C0F">
              <w:t>,</w:t>
            </w:r>
            <w:r w:rsidRPr="0083150B">
              <w:t xml:space="preserve"> a nelze u nich vypočítat ukazatele finanční analýzy, musí být podrobně zdůvodněno, kdo bude zabezpečovat provoz investice a z jakých zdrojů budou kryty provozní náklady po ukončení realizace projektu.</w:t>
            </w:r>
          </w:p>
          <w:p w:rsidR="0083150B" w:rsidRPr="0083150B" w:rsidRDefault="0083150B" w:rsidP="00F34C0F">
            <w:pPr>
              <w:pStyle w:val="Odstavecseseznamem"/>
              <w:numPr>
                <w:ilvl w:val="0"/>
                <w:numId w:val="9"/>
              </w:numPr>
              <w:spacing w:after="0" w:line="240" w:lineRule="auto"/>
              <w:jc w:val="both"/>
            </w:pPr>
            <w:r w:rsidRPr="00F34C0F">
              <w:rPr>
                <w:b/>
              </w:rPr>
              <w:t>Analýza a řízení rizik</w:t>
            </w:r>
            <w:r w:rsidRPr="0083150B">
              <w:t xml:space="preserve"> - identifikace rizik (vymezení největších zdrojů rizika v projektu v oblasti organizační, procesní, technologické, implementační, informační atd.), popis možných následků při realizaci rizika, odhad pravděpodobnosti realizace rizik na základě historických dat nebo ze simulačních modelů, ohodnocení rizik na základě jejich následků a pravděpodobnosti jejich realizace, návrh opatření na jejich snížení nebo eliminaci – organizační, procesní, technologické a další opatření, náklady spojené s těmito opatřeními.</w:t>
            </w:r>
          </w:p>
          <w:p w:rsidR="0083150B" w:rsidRPr="0083150B" w:rsidRDefault="0083150B" w:rsidP="00F34C0F">
            <w:pPr>
              <w:pStyle w:val="Odstavecseseznamem"/>
              <w:numPr>
                <w:ilvl w:val="0"/>
                <w:numId w:val="9"/>
              </w:numPr>
              <w:spacing w:after="0" w:line="240" w:lineRule="auto"/>
              <w:jc w:val="both"/>
            </w:pPr>
            <w:r w:rsidRPr="00F34C0F">
              <w:rPr>
                <w:b/>
              </w:rPr>
              <w:t>Vliv projektu na životní prostředí vliv</w:t>
            </w:r>
            <w:r w:rsidRPr="0083150B">
              <w:t xml:space="preserve"> – popsání případných vlivů na životní prostředí ve vztahu na platnou legislativu, návrh opatření k eliminaci případných negativních vlivů.</w:t>
            </w:r>
          </w:p>
          <w:p w:rsidR="0083150B" w:rsidRPr="0083150B" w:rsidRDefault="0083150B" w:rsidP="00F34C0F">
            <w:pPr>
              <w:pStyle w:val="Odstavecseseznamem"/>
              <w:numPr>
                <w:ilvl w:val="0"/>
                <w:numId w:val="9"/>
              </w:numPr>
              <w:spacing w:after="0" w:line="240" w:lineRule="auto"/>
              <w:jc w:val="both"/>
            </w:pPr>
            <w:r w:rsidRPr="00F34C0F">
              <w:rPr>
                <w:b/>
              </w:rPr>
              <w:t>Zhodnocení projektu na základě výsledků studie</w:t>
            </w:r>
            <w:r w:rsidRPr="0083150B">
              <w:t xml:space="preserve"> - popis zásadních závěrů, které vyplývají ze zpracované studie proveditelnosti. Tabelární výstupy zahrnující zásadní ukazatele a jejich hodnoty spočtené z výsledných hotovostních toků resp. nákladů a výnosů obsažených ve finálním finančním plánu, jakož i výsledky citlivostní analýzy. Ve stručné a shrnující </w:t>
            </w:r>
            <w:r w:rsidRPr="0083150B">
              <w:lastRenderedPageBreak/>
              <w:t>podobě je zde uvedeno zhodnocení finanční efektivity projektu, jeho realizovatelnost z hlediska všech prvků Studie proveditelnosti a výsledky analýzy rizik.</w:t>
            </w:r>
          </w:p>
          <w:p w:rsidR="0083150B" w:rsidRPr="0083150B" w:rsidRDefault="0083150B" w:rsidP="00F34C0F">
            <w:pPr>
              <w:pStyle w:val="Odstavecseseznamem"/>
              <w:numPr>
                <w:ilvl w:val="0"/>
                <w:numId w:val="9"/>
              </w:numPr>
              <w:spacing w:after="0" w:line="240" w:lineRule="auto"/>
              <w:jc w:val="both"/>
            </w:pPr>
            <w:r w:rsidRPr="00F34C0F">
              <w:rPr>
                <w:b/>
              </w:rPr>
              <w:t>Závěry a doporučení</w:t>
            </w:r>
            <w:r w:rsidRPr="0083150B">
              <w:t xml:space="preserve"> - popis a zdůvodnění zadání a návrhů řešení (například formou samostatného shrnutí v závěru nebo úvodu studie), včetně rámcového návrhu zadávací dokumentace pro zadání veřejné zakázky.</w:t>
            </w:r>
          </w:p>
          <w:p w:rsidR="0083150B" w:rsidRPr="00F34C0F" w:rsidRDefault="0083150B" w:rsidP="00F34C0F">
            <w:pPr>
              <w:pStyle w:val="Odstavecseseznamem"/>
              <w:numPr>
                <w:ilvl w:val="0"/>
                <w:numId w:val="9"/>
              </w:numPr>
              <w:spacing w:after="0" w:line="240" w:lineRule="auto"/>
              <w:jc w:val="both"/>
              <w:rPr>
                <w:b/>
              </w:rPr>
            </w:pPr>
            <w:r w:rsidRPr="00F34C0F">
              <w:rPr>
                <w:b/>
              </w:rPr>
              <w:t>Použité zdroje pro zpracování studie</w:t>
            </w:r>
          </w:p>
          <w:p w:rsidR="0083150B" w:rsidRDefault="0083150B" w:rsidP="00F34C0F">
            <w:pPr>
              <w:spacing w:after="0" w:line="240" w:lineRule="auto"/>
              <w:ind w:left="34"/>
              <w:contextualSpacing/>
              <w:jc w:val="both"/>
            </w:pPr>
          </w:p>
        </w:tc>
      </w:tr>
      <w:tr w:rsidR="00D77E1E" w:rsidTr="00D77E1E">
        <w:tc>
          <w:tcPr>
            <w:tcW w:w="2835" w:type="dxa"/>
            <w:vAlign w:val="center"/>
          </w:tcPr>
          <w:p w:rsidR="00D77E1E" w:rsidRPr="00D77E1E" w:rsidRDefault="00D77E1E" w:rsidP="00D77E1E">
            <w:pPr>
              <w:spacing w:line="240" w:lineRule="auto"/>
              <w:rPr>
                <w:b/>
              </w:rPr>
            </w:pPr>
            <w:r>
              <w:rPr>
                <w:b/>
              </w:rPr>
              <w:lastRenderedPageBreak/>
              <w:t>Kritéria hodnocení žádosti</w:t>
            </w:r>
          </w:p>
        </w:tc>
        <w:tc>
          <w:tcPr>
            <w:tcW w:w="6237" w:type="dxa"/>
            <w:vAlign w:val="center"/>
          </w:tcPr>
          <w:p w:rsidR="00D77E1E" w:rsidRDefault="00265447" w:rsidP="00265447">
            <w:pPr>
              <w:pStyle w:val="Odstavecseseznamem"/>
              <w:numPr>
                <w:ilvl w:val="0"/>
                <w:numId w:val="4"/>
              </w:numPr>
              <w:spacing w:line="240" w:lineRule="auto"/>
            </w:pPr>
            <w:r>
              <w:t>doklady o působnosti žadatele (reference, citace, odkazy)</w:t>
            </w:r>
          </w:p>
          <w:p w:rsidR="00265447" w:rsidRDefault="00265447" w:rsidP="00265447">
            <w:pPr>
              <w:pStyle w:val="Odstavecseseznamem"/>
              <w:numPr>
                <w:ilvl w:val="0"/>
                <w:numId w:val="4"/>
              </w:numPr>
              <w:spacing w:line="240" w:lineRule="auto"/>
            </w:pPr>
            <w:r>
              <w:t>doklady o kvalifikaci žadatele (životopisy, diplomy, osvědčení a další případné doklady)</w:t>
            </w:r>
          </w:p>
          <w:p w:rsidR="00542EAB" w:rsidRDefault="00B976B5" w:rsidP="00265447">
            <w:pPr>
              <w:pStyle w:val="Odstavecseseznamem"/>
              <w:numPr>
                <w:ilvl w:val="0"/>
                <w:numId w:val="4"/>
              </w:numPr>
              <w:spacing w:line="240" w:lineRule="auto"/>
            </w:pPr>
            <w:r>
              <w:t xml:space="preserve">příloha č. 9 k žádosti o </w:t>
            </w:r>
            <w:r w:rsidR="00213CA8">
              <w:t>podporu</w:t>
            </w:r>
          </w:p>
          <w:p w:rsidR="00265447" w:rsidRDefault="00265447" w:rsidP="00213CA8">
            <w:pPr>
              <w:pStyle w:val="Odstavecseseznamem"/>
              <w:numPr>
                <w:ilvl w:val="0"/>
                <w:numId w:val="4"/>
              </w:numPr>
              <w:spacing w:line="240" w:lineRule="auto"/>
            </w:pPr>
            <w:r>
              <w:t xml:space="preserve">výše požadované </w:t>
            </w:r>
            <w:r w:rsidR="00213CA8">
              <w:t>podpory</w:t>
            </w:r>
          </w:p>
        </w:tc>
      </w:tr>
      <w:tr w:rsidR="00D77E1E" w:rsidTr="00D77E1E">
        <w:tc>
          <w:tcPr>
            <w:tcW w:w="2835" w:type="dxa"/>
            <w:vAlign w:val="center"/>
          </w:tcPr>
          <w:p w:rsidR="00D77E1E" w:rsidRDefault="00D77E1E" w:rsidP="00D77E1E">
            <w:pPr>
              <w:spacing w:line="240" w:lineRule="auto"/>
              <w:rPr>
                <w:b/>
              </w:rPr>
            </w:pPr>
            <w:r>
              <w:rPr>
                <w:b/>
              </w:rPr>
              <w:t>Informace o programu</w:t>
            </w:r>
          </w:p>
        </w:tc>
        <w:tc>
          <w:tcPr>
            <w:tcW w:w="6237" w:type="dxa"/>
            <w:vAlign w:val="center"/>
          </w:tcPr>
          <w:p w:rsidR="00D77E1E" w:rsidRDefault="00D77E1E" w:rsidP="0083150B">
            <w:pPr>
              <w:spacing w:line="240" w:lineRule="auto"/>
            </w:pPr>
            <w:r>
              <w:t>obecné zásady Programu EFEKT 201</w:t>
            </w:r>
            <w:r w:rsidR="0083150B">
              <w:t>6</w:t>
            </w:r>
            <w:r>
              <w:t xml:space="preserve"> jsou uvedeny v textu programu na stránkách </w:t>
            </w:r>
            <w:hyperlink r:id="rId7" w:history="1">
              <w:r w:rsidRPr="007F3ECF">
                <w:rPr>
                  <w:rStyle w:val="Hypertextovodkaz"/>
                </w:rPr>
                <w:t>www.mpo.cz</w:t>
              </w:r>
            </w:hyperlink>
            <w:r>
              <w:t xml:space="preserve"> nebo </w:t>
            </w:r>
            <w:hyperlink r:id="rId8" w:history="1">
              <w:r w:rsidRPr="007F3ECF">
                <w:rPr>
                  <w:rStyle w:val="Hypertextovodkaz"/>
                </w:rPr>
                <w:t>www.mpo-efekt.cz</w:t>
              </w:r>
            </w:hyperlink>
            <w:r>
              <w:t xml:space="preserve"> </w:t>
            </w:r>
          </w:p>
        </w:tc>
      </w:tr>
      <w:tr w:rsidR="00D77E1E" w:rsidTr="00D77E1E">
        <w:tc>
          <w:tcPr>
            <w:tcW w:w="2835" w:type="dxa"/>
            <w:vAlign w:val="center"/>
          </w:tcPr>
          <w:p w:rsidR="00D77E1E" w:rsidRDefault="00D77E1E" w:rsidP="00D77E1E">
            <w:pPr>
              <w:spacing w:line="240" w:lineRule="auto"/>
              <w:rPr>
                <w:b/>
              </w:rPr>
            </w:pPr>
            <w:r>
              <w:rPr>
                <w:b/>
              </w:rPr>
              <w:t>Obsah žádosti</w:t>
            </w:r>
          </w:p>
        </w:tc>
        <w:tc>
          <w:tcPr>
            <w:tcW w:w="6237" w:type="dxa"/>
            <w:vAlign w:val="center"/>
          </w:tcPr>
          <w:p w:rsidR="00D77E1E" w:rsidRDefault="00D77E1E" w:rsidP="00D77E1E">
            <w:pPr>
              <w:pStyle w:val="Odstavecseseznamem"/>
              <w:numPr>
                <w:ilvl w:val="0"/>
                <w:numId w:val="2"/>
              </w:numPr>
              <w:spacing w:line="240" w:lineRule="auto"/>
              <w:ind w:left="459"/>
            </w:pPr>
            <w:r>
              <w:t>Formulář žádosti</w:t>
            </w:r>
            <w:r w:rsidR="00213CA8">
              <w:t xml:space="preserve"> o podporu</w:t>
            </w:r>
          </w:p>
          <w:p w:rsidR="00D77E1E" w:rsidRDefault="00D77E1E" w:rsidP="00D77E1E">
            <w:pPr>
              <w:pStyle w:val="Odstavecseseznamem"/>
              <w:numPr>
                <w:ilvl w:val="0"/>
                <w:numId w:val="2"/>
              </w:numPr>
              <w:spacing w:line="240" w:lineRule="auto"/>
              <w:ind w:left="459"/>
            </w:pPr>
            <w:r>
              <w:t>Přílohy žádosti dle textu programu</w:t>
            </w:r>
          </w:p>
          <w:p w:rsidR="00265447" w:rsidRDefault="00265447" w:rsidP="00265447">
            <w:pPr>
              <w:spacing w:line="240" w:lineRule="auto"/>
            </w:pPr>
            <w:r>
              <w:t xml:space="preserve">Příloha č. 9 </w:t>
            </w:r>
            <w:r>
              <w:rPr>
                <w:i/>
              </w:rPr>
              <w:t>„Harmonogram a popis realizace akce“</w:t>
            </w:r>
            <w:r>
              <w:t xml:space="preserve"> musí uvádět obsah (osnovu) tvořené</w:t>
            </w:r>
            <w:r w:rsidR="00B976B5">
              <w:t>ho konceptu</w:t>
            </w:r>
            <w:r>
              <w:t xml:space="preserve"> včetně kalkulace nákladů k jednotlivým částem, seznam řešitelů včetně odhadu člověkohodin </w:t>
            </w:r>
            <w:r w:rsidR="00B976B5">
              <w:t xml:space="preserve">na řešitele a danou část osnovy, dále musí být uveden předpokládaný </w:t>
            </w:r>
            <w:r w:rsidR="0083150B">
              <w:t xml:space="preserve">rozsah díla (například v podobě </w:t>
            </w:r>
            <w:r w:rsidR="00B976B5">
              <w:t>počt</w:t>
            </w:r>
            <w:r w:rsidR="0083150B">
              <w:t>u</w:t>
            </w:r>
            <w:r w:rsidR="00B976B5">
              <w:t xml:space="preserve"> stran dokumentu</w:t>
            </w:r>
            <w:r w:rsidR="0083150B">
              <w:t>, apod.)</w:t>
            </w:r>
            <w:r w:rsidR="00B976B5">
              <w:t>.</w:t>
            </w:r>
          </w:p>
          <w:p w:rsidR="00554452" w:rsidRPr="00265447" w:rsidRDefault="00554452" w:rsidP="00213CA8">
            <w:pPr>
              <w:spacing w:line="240" w:lineRule="auto"/>
            </w:pPr>
            <w:r>
              <w:t xml:space="preserve">Formulář žádosti včetně všech příloh je žadatel povinen k žádosti o </w:t>
            </w:r>
            <w:r w:rsidR="00213CA8">
              <w:t>podporu</w:t>
            </w:r>
            <w:r>
              <w:t xml:space="preserve"> přiložit též v elektronické podobě (</w:t>
            </w:r>
            <w:proofErr w:type="spellStart"/>
            <w:r>
              <w:t>word</w:t>
            </w:r>
            <w:proofErr w:type="spellEnd"/>
            <w:r>
              <w:t xml:space="preserve">, </w:t>
            </w:r>
            <w:proofErr w:type="spellStart"/>
            <w:r>
              <w:t>excel</w:t>
            </w:r>
            <w:proofErr w:type="spellEnd"/>
            <w:r>
              <w:t xml:space="preserve">, </w:t>
            </w:r>
            <w:proofErr w:type="spellStart"/>
            <w:r>
              <w:t>pdf</w:t>
            </w:r>
            <w:proofErr w:type="spellEnd"/>
            <w:r>
              <w:t xml:space="preserve">) na CD nosiči nebo </w:t>
            </w:r>
            <w:proofErr w:type="spellStart"/>
            <w:r>
              <w:t>flash</w:t>
            </w:r>
            <w:proofErr w:type="spellEnd"/>
            <w:r>
              <w:t xml:space="preserve"> disku.</w:t>
            </w:r>
          </w:p>
        </w:tc>
      </w:tr>
      <w:tr w:rsidR="00D77E1E" w:rsidTr="00D77E1E">
        <w:tc>
          <w:tcPr>
            <w:tcW w:w="2835" w:type="dxa"/>
            <w:vAlign w:val="center"/>
          </w:tcPr>
          <w:p w:rsidR="00D77E1E" w:rsidRDefault="00D77E1E" w:rsidP="00D77E1E">
            <w:pPr>
              <w:spacing w:line="240" w:lineRule="auto"/>
              <w:rPr>
                <w:b/>
              </w:rPr>
            </w:pPr>
            <w:r>
              <w:rPr>
                <w:b/>
              </w:rPr>
              <w:t>Kontaktní informace</w:t>
            </w:r>
          </w:p>
        </w:tc>
        <w:tc>
          <w:tcPr>
            <w:tcW w:w="6237" w:type="dxa"/>
            <w:vAlign w:val="center"/>
          </w:tcPr>
          <w:p w:rsidR="00D77E1E" w:rsidRDefault="00D77E1E" w:rsidP="00D77E1E">
            <w:pPr>
              <w:pStyle w:val="Odstavecseseznamem"/>
              <w:spacing w:line="240" w:lineRule="auto"/>
              <w:ind w:left="34"/>
            </w:pPr>
            <w:r>
              <w:t>Ing. Jana Sedláčková</w:t>
            </w:r>
          </w:p>
          <w:p w:rsidR="00D77E1E" w:rsidRDefault="00D77E1E" w:rsidP="00D77E1E">
            <w:pPr>
              <w:pStyle w:val="Odstavecseseznamem"/>
              <w:spacing w:line="240" w:lineRule="auto"/>
              <w:ind w:left="34"/>
            </w:pPr>
            <w:r>
              <w:t xml:space="preserve">obor </w:t>
            </w:r>
            <w:r w:rsidR="00F34C0F">
              <w:t>energetické účinnosti a úspor</w:t>
            </w:r>
          </w:p>
          <w:p w:rsidR="00D77E1E" w:rsidRDefault="00D77E1E" w:rsidP="00D77E1E">
            <w:pPr>
              <w:pStyle w:val="Odstavecseseznamem"/>
              <w:spacing w:line="240" w:lineRule="auto"/>
              <w:ind w:left="34"/>
            </w:pPr>
            <w:r>
              <w:t>Ministerstvo průmyslu a obchodu</w:t>
            </w:r>
          </w:p>
          <w:p w:rsidR="00D77E1E" w:rsidRDefault="00D77E1E" w:rsidP="00D77E1E">
            <w:pPr>
              <w:pStyle w:val="Odstavecseseznamem"/>
              <w:spacing w:line="240" w:lineRule="auto"/>
              <w:ind w:left="34"/>
            </w:pPr>
            <w:r>
              <w:t>Na Františku 32</w:t>
            </w:r>
          </w:p>
          <w:p w:rsidR="00D77E1E" w:rsidRDefault="00D77E1E" w:rsidP="00D77E1E">
            <w:pPr>
              <w:pStyle w:val="Odstavecseseznamem"/>
              <w:spacing w:line="240" w:lineRule="auto"/>
              <w:ind w:left="34"/>
            </w:pPr>
            <w:r>
              <w:t>110 15 Praha 1</w:t>
            </w:r>
          </w:p>
          <w:p w:rsidR="00D77E1E" w:rsidRDefault="00D77E1E" w:rsidP="00D77E1E">
            <w:pPr>
              <w:pStyle w:val="Odstavecseseznamem"/>
              <w:spacing w:line="240" w:lineRule="auto"/>
              <w:ind w:left="34"/>
            </w:pPr>
            <w:r>
              <w:t>Tel: 224 852 118</w:t>
            </w:r>
          </w:p>
          <w:p w:rsidR="00D77E1E" w:rsidRDefault="00D77E1E" w:rsidP="00D77E1E">
            <w:pPr>
              <w:pStyle w:val="Odstavecseseznamem"/>
              <w:spacing w:line="240" w:lineRule="auto"/>
              <w:ind w:left="34"/>
            </w:pPr>
            <w:r>
              <w:t>E-mail: sedlackova@mpo.cz</w:t>
            </w:r>
          </w:p>
        </w:tc>
      </w:tr>
    </w:tbl>
    <w:p w:rsidR="00D77E1E" w:rsidRPr="00D77E1E" w:rsidRDefault="00D77E1E" w:rsidP="001E3B07">
      <w:pPr>
        <w:spacing w:line="240" w:lineRule="auto"/>
        <w:ind w:left="1418" w:hanging="1418"/>
        <w:jc w:val="both"/>
      </w:pPr>
    </w:p>
    <w:sectPr w:rsidR="00D77E1E" w:rsidRPr="00D77E1E" w:rsidSect="00542EAB">
      <w:headerReference w:type="default" r:id="rId9"/>
      <w:footerReference w:type="default" r:id="rId10"/>
      <w:pgSz w:w="11906" w:h="16838"/>
      <w:pgMar w:top="2382" w:right="1417" w:bottom="1417" w:left="1417" w:header="68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D7" w:rsidRDefault="00F11CD7" w:rsidP="00F11CD7">
      <w:pPr>
        <w:spacing w:after="0" w:line="240" w:lineRule="auto"/>
      </w:pPr>
      <w:r>
        <w:separator/>
      </w:r>
    </w:p>
  </w:endnote>
  <w:endnote w:type="continuationSeparator" w:id="0">
    <w:p w:rsidR="00F11CD7" w:rsidRDefault="00F11CD7" w:rsidP="00F1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507222"/>
      <w:docPartObj>
        <w:docPartGallery w:val="Page Numbers (Bottom of Page)"/>
        <w:docPartUnique/>
      </w:docPartObj>
    </w:sdtPr>
    <w:sdtEndPr/>
    <w:sdtContent>
      <w:p w:rsidR="00265447" w:rsidRDefault="00265447">
        <w:pPr>
          <w:pStyle w:val="Zpat"/>
          <w:jc w:val="right"/>
        </w:pPr>
        <w:r>
          <w:fldChar w:fldCharType="begin"/>
        </w:r>
        <w:r>
          <w:instrText>PAGE   \* MERGEFORMAT</w:instrText>
        </w:r>
        <w:r>
          <w:fldChar w:fldCharType="separate"/>
        </w:r>
        <w:r w:rsidR="00032FF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D7" w:rsidRDefault="00F11CD7" w:rsidP="00F11CD7">
      <w:pPr>
        <w:spacing w:after="0" w:line="240" w:lineRule="auto"/>
      </w:pPr>
      <w:r>
        <w:separator/>
      </w:r>
    </w:p>
  </w:footnote>
  <w:footnote w:type="continuationSeparator" w:id="0">
    <w:p w:rsidR="00F11CD7" w:rsidRDefault="00F11CD7" w:rsidP="00F11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D7" w:rsidRDefault="00F11CD7">
    <w:pPr>
      <w:pStyle w:val="Zhlav"/>
    </w:pPr>
    <w:r>
      <w:rPr>
        <w:noProof/>
      </w:rPr>
      <w:drawing>
        <wp:anchor distT="0" distB="0" distL="114300" distR="114300" simplePos="0" relativeHeight="251661312" behindDoc="1" locked="0" layoutInCell="1" allowOverlap="1" wp14:anchorId="512FA29F" wp14:editId="2B7E7F23">
          <wp:simplePos x="0" y="0"/>
          <wp:positionH relativeFrom="column">
            <wp:posOffset>4518025</wp:posOffset>
          </wp:positionH>
          <wp:positionV relativeFrom="paragraph">
            <wp:posOffset>74295</wp:posOffset>
          </wp:positionV>
          <wp:extent cx="1362075" cy="669290"/>
          <wp:effectExtent l="0" t="0" r="0" b="0"/>
          <wp:wrapThrough wrapText="bothSides">
            <wp:wrapPolygon edited="0">
              <wp:start x="0" y="0"/>
              <wp:lineTo x="0" y="20903"/>
              <wp:lineTo x="21449" y="20903"/>
              <wp:lineTo x="21449" y="0"/>
              <wp:lineTo x="0" y="0"/>
            </wp:wrapPolygon>
          </wp:wrapThrough>
          <wp:docPr id="2" name="Obrázek 2" descr="Efe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e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EE01F3B" wp14:editId="671AF924">
          <wp:simplePos x="0" y="0"/>
          <wp:positionH relativeFrom="column">
            <wp:posOffset>-159385</wp:posOffset>
          </wp:positionH>
          <wp:positionV relativeFrom="paragraph">
            <wp:posOffset>-20955</wp:posOffset>
          </wp:positionV>
          <wp:extent cx="1543050" cy="828675"/>
          <wp:effectExtent l="0" t="0" r="0" b="0"/>
          <wp:wrapThrough wrapText="bothSides">
            <wp:wrapPolygon edited="0">
              <wp:start x="0" y="0"/>
              <wp:lineTo x="0" y="21352"/>
              <wp:lineTo x="21333" y="21352"/>
              <wp:lineTo x="21333" y="0"/>
              <wp:lineTo x="0" y="0"/>
            </wp:wrapPolygon>
          </wp:wrapThrough>
          <wp:docPr id="1" name="Obrázek 1" descr="mp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E38CE"/>
    <w:multiLevelType w:val="hybridMultilevel"/>
    <w:tmpl w:val="62DAD09C"/>
    <w:lvl w:ilvl="0" w:tplc="AD1458FC">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080"/>
        </w:tabs>
        <w:ind w:left="1080" w:hanging="360"/>
      </w:pPr>
    </w:lvl>
    <w:lvl w:ilvl="2" w:tplc="04050017">
      <w:start w:val="1"/>
      <w:numFmt w:val="lowerLetter"/>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39F692C"/>
    <w:multiLevelType w:val="hybridMultilevel"/>
    <w:tmpl w:val="CDE2D1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2F4FF9"/>
    <w:multiLevelType w:val="hybridMultilevel"/>
    <w:tmpl w:val="80F23B44"/>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4" w15:restartNumberingAfterBreak="0">
    <w:nsid w:val="294F022B"/>
    <w:multiLevelType w:val="hybridMultilevel"/>
    <w:tmpl w:val="B4B88FD6"/>
    <w:lvl w:ilvl="0" w:tplc="0405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5" w15:restartNumberingAfterBreak="0">
    <w:nsid w:val="4A0F65F6"/>
    <w:multiLevelType w:val="hybridMultilevel"/>
    <w:tmpl w:val="7464C3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390702"/>
    <w:multiLevelType w:val="hybridMultilevel"/>
    <w:tmpl w:val="17321F80"/>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7" w15:restartNumberingAfterBreak="0">
    <w:nsid w:val="571B69D2"/>
    <w:multiLevelType w:val="hybridMultilevel"/>
    <w:tmpl w:val="73B0B38A"/>
    <w:lvl w:ilvl="0" w:tplc="28E8B89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5B0518D1"/>
    <w:multiLevelType w:val="hybridMultilevel"/>
    <w:tmpl w:val="A572B9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7"/>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7"/>
    <w:rsid w:val="00032FF7"/>
    <w:rsid w:val="001E3B07"/>
    <w:rsid w:val="00213CA8"/>
    <w:rsid w:val="00265447"/>
    <w:rsid w:val="00273523"/>
    <w:rsid w:val="002E24B1"/>
    <w:rsid w:val="002E7125"/>
    <w:rsid w:val="00340F9A"/>
    <w:rsid w:val="003411E0"/>
    <w:rsid w:val="003A65D8"/>
    <w:rsid w:val="003D211A"/>
    <w:rsid w:val="004117A8"/>
    <w:rsid w:val="004B1588"/>
    <w:rsid w:val="004C5086"/>
    <w:rsid w:val="004D6D9B"/>
    <w:rsid w:val="00542EAB"/>
    <w:rsid w:val="00554452"/>
    <w:rsid w:val="00577C1D"/>
    <w:rsid w:val="005F2D8C"/>
    <w:rsid w:val="006041F2"/>
    <w:rsid w:val="0071379C"/>
    <w:rsid w:val="00755266"/>
    <w:rsid w:val="0083150B"/>
    <w:rsid w:val="008C1776"/>
    <w:rsid w:val="008F0334"/>
    <w:rsid w:val="00A24196"/>
    <w:rsid w:val="00AD6F3C"/>
    <w:rsid w:val="00B31790"/>
    <w:rsid w:val="00B57033"/>
    <w:rsid w:val="00B976B5"/>
    <w:rsid w:val="00D77E1E"/>
    <w:rsid w:val="00DB03EE"/>
    <w:rsid w:val="00E60643"/>
    <w:rsid w:val="00ED768F"/>
    <w:rsid w:val="00F11CD7"/>
    <w:rsid w:val="00F34C0F"/>
    <w:rsid w:val="00FB3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5F0591-0A1F-402D-B7BE-587C034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B08"/>
    <w:pPr>
      <w:overflowPunct w:val="0"/>
      <w:autoSpaceDE w:val="0"/>
      <w:autoSpaceDN w:val="0"/>
      <w:adjustRightInd w:val="0"/>
      <w:spacing w:after="160" w:line="340" w:lineRule="exact"/>
      <w:textAlignment w:val="baseline"/>
    </w:pPr>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11CD7"/>
    <w:pPr>
      <w:widowControl w:val="0"/>
      <w:overflowPunct/>
      <w:autoSpaceDE/>
      <w:autoSpaceDN/>
      <w:spacing w:after="0" w:line="360" w:lineRule="auto"/>
      <w:jc w:val="both"/>
    </w:pPr>
    <w:rPr>
      <w:rFonts w:ascii="Times New Roman" w:hAnsi="Times New Roman"/>
    </w:rPr>
  </w:style>
  <w:style w:type="character" w:customStyle="1" w:styleId="ZkladntextChar">
    <w:name w:val="Základní text Char"/>
    <w:basedOn w:val="Standardnpsmoodstavce"/>
    <w:link w:val="Zkladntext"/>
    <w:semiHidden/>
    <w:rsid w:val="00F11CD7"/>
    <w:rPr>
      <w:sz w:val="22"/>
    </w:rPr>
  </w:style>
  <w:style w:type="paragraph" w:styleId="Zhlav">
    <w:name w:val="header"/>
    <w:basedOn w:val="Normln"/>
    <w:link w:val="ZhlavChar"/>
    <w:uiPriority w:val="99"/>
    <w:unhideWhenUsed/>
    <w:rsid w:val="00F11C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1CD7"/>
    <w:rPr>
      <w:rFonts w:asciiTheme="minorHAnsi" w:hAnsiTheme="minorHAnsi"/>
      <w:sz w:val="22"/>
    </w:rPr>
  </w:style>
  <w:style w:type="paragraph" w:styleId="Zpat">
    <w:name w:val="footer"/>
    <w:basedOn w:val="Normln"/>
    <w:link w:val="ZpatChar"/>
    <w:uiPriority w:val="99"/>
    <w:unhideWhenUsed/>
    <w:rsid w:val="00F11CD7"/>
    <w:pPr>
      <w:tabs>
        <w:tab w:val="center" w:pos="4536"/>
        <w:tab w:val="right" w:pos="9072"/>
      </w:tabs>
      <w:spacing w:after="0" w:line="240" w:lineRule="auto"/>
    </w:pPr>
  </w:style>
  <w:style w:type="character" w:customStyle="1" w:styleId="ZpatChar">
    <w:name w:val="Zápatí Char"/>
    <w:basedOn w:val="Standardnpsmoodstavce"/>
    <w:link w:val="Zpat"/>
    <w:uiPriority w:val="99"/>
    <w:rsid w:val="00F11CD7"/>
    <w:rPr>
      <w:rFonts w:asciiTheme="minorHAnsi" w:hAnsiTheme="minorHAnsi"/>
      <w:sz w:val="22"/>
    </w:rPr>
  </w:style>
  <w:style w:type="table" w:styleId="Mkatabulky">
    <w:name w:val="Table Grid"/>
    <w:basedOn w:val="Normlntabulka"/>
    <w:uiPriority w:val="59"/>
    <w:rsid w:val="00D7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77E1E"/>
    <w:rPr>
      <w:color w:val="0000FF" w:themeColor="hyperlink"/>
      <w:u w:val="single"/>
    </w:rPr>
  </w:style>
  <w:style w:type="paragraph" w:styleId="Odstavecseseznamem">
    <w:name w:val="List Paragraph"/>
    <w:basedOn w:val="Normln"/>
    <w:uiPriority w:val="34"/>
    <w:qFormat/>
    <w:rsid w:val="00D77E1E"/>
    <w:pPr>
      <w:ind w:left="720"/>
      <w:contextualSpacing/>
    </w:pPr>
  </w:style>
  <w:style w:type="paragraph" w:styleId="Textbubliny">
    <w:name w:val="Balloon Text"/>
    <w:basedOn w:val="Normln"/>
    <w:link w:val="TextbublinyChar"/>
    <w:uiPriority w:val="99"/>
    <w:semiHidden/>
    <w:unhideWhenUsed/>
    <w:rsid w:val="00032F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2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efekt.cz" TargetMode="External"/><Relationship Id="rId3" Type="http://schemas.openxmlformats.org/officeDocument/2006/relationships/settings" Target="settings.xml"/><Relationship Id="rId7" Type="http://schemas.openxmlformats.org/officeDocument/2006/relationships/hyperlink" Target="http://www.mp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9DE25080.dotm</Template>
  <TotalTime>11</TotalTime>
  <Pages>4</Pages>
  <Words>1135</Words>
  <Characters>7572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Jana</dc:creator>
  <cp:lastModifiedBy>Sedláčková Jana</cp:lastModifiedBy>
  <cp:revision>7</cp:revision>
  <cp:lastPrinted>2016-05-09T07:42:00Z</cp:lastPrinted>
  <dcterms:created xsi:type="dcterms:W3CDTF">2016-02-25T19:10:00Z</dcterms:created>
  <dcterms:modified xsi:type="dcterms:W3CDTF">2016-05-09T11:22:00Z</dcterms:modified>
</cp:coreProperties>
</file>